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E1" w:rsidRPr="00375AE1" w:rsidRDefault="00375AE1" w:rsidP="009009F4">
      <w:pPr>
        <w:jc w:val="center"/>
        <w:rPr>
          <w:rFonts w:eastAsia="Calibri"/>
          <w:b/>
          <w:sz w:val="32"/>
          <w:lang w:eastAsia="en-US"/>
        </w:rPr>
      </w:pPr>
      <w:r w:rsidRPr="00375AE1">
        <w:rPr>
          <w:rFonts w:eastAsia="Calibri"/>
          <w:b/>
          <w:sz w:val="32"/>
          <w:lang w:eastAsia="en-US"/>
        </w:rPr>
        <w:t xml:space="preserve">Извещение </w:t>
      </w:r>
    </w:p>
    <w:p w:rsidR="00375AE1" w:rsidRPr="00375AE1" w:rsidRDefault="00375AE1" w:rsidP="009009F4">
      <w:pPr>
        <w:jc w:val="center"/>
        <w:rPr>
          <w:rFonts w:eastAsia="Calibri"/>
          <w:b/>
          <w:sz w:val="32"/>
          <w:lang w:eastAsia="en-US"/>
        </w:rPr>
      </w:pPr>
      <w:r w:rsidRPr="00375AE1">
        <w:rPr>
          <w:rFonts w:eastAsia="Calibri"/>
          <w:b/>
          <w:sz w:val="32"/>
          <w:lang w:eastAsia="en-US"/>
        </w:rPr>
        <w:t xml:space="preserve">о размещении проекта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375AE1">
        <w:rPr>
          <w:rFonts w:eastAsia="Calibri"/>
          <w:b/>
          <w:sz w:val="32"/>
          <w:lang w:eastAsia="en-US"/>
        </w:rPr>
        <w:t>машино-мест</w:t>
      </w:r>
      <w:proofErr w:type="spellEnd"/>
      <w:r w:rsidRPr="00375AE1">
        <w:rPr>
          <w:rFonts w:eastAsia="Calibri"/>
          <w:b/>
          <w:sz w:val="32"/>
          <w:lang w:eastAsia="en-US"/>
        </w:rPr>
        <w:t>, учтенных в Едином государственном реестре недвижимости на территории Республики Дагестан</w:t>
      </w:r>
    </w:p>
    <w:p w:rsidR="00375AE1" w:rsidRPr="001655A7" w:rsidRDefault="00375AE1" w:rsidP="00375AE1">
      <w:pPr>
        <w:spacing w:line="360" w:lineRule="auto"/>
        <w:ind w:firstLine="709"/>
        <w:jc w:val="center"/>
        <w:rPr>
          <w:sz w:val="22"/>
          <w:szCs w:val="22"/>
        </w:rPr>
      </w:pP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 xml:space="preserve">Министерство по земельным и имущественным отношениям Республики Дагестан извещает о том, что на сайте </w:t>
      </w:r>
      <w:proofErr w:type="spellStart"/>
      <w:r w:rsidRPr="00375AE1">
        <w:rPr>
          <w:sz w:val="28"/>
          <w:szCs w:val="28"/>
        </w:rPr>
        <w:t>Росреестра</w:t>
      </w:r>
      <w:proofErr w:type="spellEnd"/>
      <w:r w:rsidRPr="00375AE1">
        <w:rPr>
          <w:sz w:val="28"/>
          <w:szCs w:val="28"/>
        </w:rPr>
        <w:t xml:space="preserve"> (</w:t>
      </w:r>
      <w:proofErr w:type="spellStart"/>
      <w:r w:rsidR="00852173">
        <w:fldChar w:fldCharType="begin"/>
      </w:r>
      <w:r w:rsidR="00852173">
        <w:instrText>HYPERLINK "http://rosreestr.ru"</w:instrText>
      </w:r>
      <w:r w:rsidR="00852173">
        <w:fldChar w:fldCharType="separate"/>
      </w:r>
      <w:r w:rsidRPr="00375AE1">
        <w:rPr>
          <w:sz w:val="28"/>
          <w:szCs w:val="28"/>
          <w:u w:val="single"/>
        </w:rPr>
        <w:t>rosreestr.ru</w:t>
      </w:r>
      <w:proofErr w:type="spellEnd"/>
      <w:r w:rsidR="00852173">
        <w:fldChar w:fldCharType="end"/>
      </w:r>
      <w:r w:rsidRPr="00375AE1">
        <w:rPr>
          <w:sz w:val="28"/>
          <w:szCs w:val="28"/>
        </w:rPr>
        <w:t>) в фонде данных государственной кадастровой оценки, а также на сайте Государственного бюджетного учреждения Республики Дагестан «Дагестанское бюро по технической инвентаризации и кадастровой оценке» (ГБУ РД «</w:t>
      </w:r>
      <w:proofErr w:type="spellStart"/>
      <w:r w:rsidRPr="00375AE1">
        <w:rPr>
          <w:sz w:val="28"/>
          <w:szCs w:val="28"/>
        </w:rPr>
        <w:t>Дагтехкадастр</w:t>
      </w:r>
      <w:proofErr w:type="spellEnd"/>
      <w:r w:rsidRPr="00375AE1">
        <w:rPr>
          <w:sz w:val="28"/>
          <w:szCs w:val="28"/>
        </w:rPr>
        <w:t>) (</w:t>
      </w:r>
      <w:proofErr w:type="spellStart"/>
      <w:r w:rsidR="00852173" w:rsidRPr="00852173">
        <w:fldChar w:fldCharType="begin"/>
      </w:r>
      <w:r w:rsidR="00900076">
        <w:instrText xml:space="preserve"> HYPERLINK "http://xn--80acfcx3d.xn--p1ai" </w:instrText>
      </w:r>
      <w:r w:rsidR="00852173" w:rsidRPr="00852173">
        <w:fldChar w:fldCharType="separate"/>
      </w:r>
      <w:r w:rsidRPr="00375AE1">
        <w:rPr>
          <w:sz w:val="28"/>
          <w:szCs w:val="28"/>
          <w:u w:val="single"/>
        </w:rPr>
        <w:t>дагбти</w:t>
      </w:r>
      <w:proofErr w:type="gramStart"/>
      <w:r w:rsidRPr="00375AE1">
        <w:rPr>
          <w:sz w:val="28"/>
          <w:szCs w:val="28"/>
          <w:u w:val="single"/>
        </w:rPr>
        <w:t>.р</w:t>
      </w:r>
      <w:proofErr w:type="gramEnd"/>
      <w:r w:rsidRPr="00375AE1">
        <w:rPr>
          <w:sz w:val="28"/>
          <w:szCs w:val="28"/>
          <w:u w:val="single"/>
        </w:rPr>
        <w:t>ф</w:t>
      </w:r>
      <w:proofErr w:type="spellEnd"/>
      <w:r w:rsidR="00852173">
        <w:rPr>
          <w:sz w:val="28"/>
          <w:szCs w:val="28"/>
          <w:u w:val="single"/>
        </w:rPr>
        <w:fldChar w:fldCharType="end"/>
      </w:r>
      <w:r w:rsidRPr="00375AE1">
        <w:rPr>
          <w:sz w:val="28"/>
          <w:szCs w:val="28"/>
        </w:rPr>
        <w:t xml:space="preserve">) в разделе «Кадастровая оценка» размещен проект отчета </w:t>
      </w:r>
      <w:r w:rsidRPr="00375AE1">
        <w:rPr>
          <w:rFonts w:eastAsia="Calibri"/>
          <w:sz w:val="28"/>
          <w:szCs w:val="28"/>
          <w:lang w:eastAsia="en-US"/>
        </w:rPr>
        <w:t>об итогах государственной кадастровой оценки</w:t>
      </w:r>
      <w:r w:rsidRPr="00375AE1">
        <w:rPr>
          <w:sz w:val="28"/>
          <w:szCs w:val="28"/>
        </w:rPr>
        <w:t xml:space="preserve"> зданий, помещений, сооружений, объектов незавершенного строительства, </w:t>
      </w:r>
      <w:proofErr w:type="spellStart"/>
      <w:r w:rsidRPr="00375AE1">
        <w:rPr>
          <w:sz w:val="28"/>
          <w:szCs w:val="28"/>
        </w:rPr>
        <w:t>машино-мест</w:t>
      </w:r>
      <w:proofErr w:type="spellEnd"/>
      <w:r w:rsidRPr="00375AE1">
        <w:rPr>
          <w:sz w:val="28"/>
          <w:szCs w:val="28"/>
        </w:rPr>
        <w:t>, учтенных в Едином государственном реестре недвижимости на территории Республики Дагестан (далее – Проект отчета</w:t>
      </w:r>
      <w:r w:rsidRPr="00375AE1">
        <w:rPr>
          <w:rFonts w:eastAsia="Calibri"/>
          <w:sz w:val="28"/>
          <w:szCs w:val="28"/>
          <w:lang w:eastAsia="en-US"/>
        </w:rPr>
        <w:t xml:space="preserve"> об итогах государственной кадастровой оценки</w:t>
      </w:r>
      <w:r w:rsidRPr="00375AE1">
        <w:rPr>
          <w:sz w:val="28"/>
          <w:szCs w:val="28"/>
        </w:rPr>
        <w:t>).</w:t>
      </w:r>
    </w:p>
    <w:p w:rsidR="00375AE1" w:rsidRPr="00375AE1" w:rsidRDefault="00375AE1" w:rsidP="00375AE1">
      <w:pPr>
        <w:ind w:firstLine="709"/>
        <w:jc w:val="both"/>
        <w:rPr>
          <w:rFonts w:ascii="ProximaNova" w:eastAsia="Calibri" w:hAnsi="ProximaNova"/>
          <w:color w:val="323232"/>
          <w:shd w:val="clear" w:color="auto" w:fill="FFFFFF"/>
          <w:lang w:eastAsia="en-US"/>
        </w:rPr>
      </w:pPr>
      <w:r w:rsidRPr="00375AE1">
        <w:rPr>
          <w:sz w:val="28"/>
          <w:szCs w:val="28"/>
        </w:rPr>
        <w:t xml:space="preserve">В течение 30 дней с момента опубликования на сайте </w:t>
      </w:r>
      <w:proofErr w:type="spellStart"/>
      <w:r w:rsidRPr="00375AE1">
        <w:rPr>
          <w:sz w:val="28"/>
          <w:szCs w:val="28"/>
        </w:rPr>
        <w:t>Росреестра</w:t>
      </w:r>
      <w:proofErr w:type="spellEnd"/>
      <w:r w:rsidRPr="00375AE1">
        <w:rPr>
          <w:sz w:val="28"/>
          <w:szCs w:val="28"/>
        </w:rPr>
        <w:t xml:space="preserve"> (</w:t>
      </w:r>
      <w:proofErr w:type="spellStart"/>
      <w:r w:rsidR="00852173">
        <w:fldChar w:fldCharType="begin"/>
      </w:r>
      <w:r w:rsidR="00852173">
        <w:instrText>HYPERLINK "http://rosreestr.ru"</w:instrText>
      </w:r>
      <w:r w:rsidR="00852173">
        <w:fldChar w:fldCharType="separate"/>
      </w:r>
      <w:r w:rsidRPr="00375AE1">
        <w:rPr>
          <w:sz w:val="28"/>
          <w:szCs w:val="28"/>
          <w:u w:val="single"/>
        </w:rPr>
        <w:t>rosreestr.ru</w:t>
      </w:r>
      <w:proofErr w:type="spellEnd"/>
      <w:r w:rsidR="00852173">
        <w:fldChar w:fldCharType="end"/>
      </w:r>
      <w:r w:rsidRPr="00375AE1">
        <w:rPr>
          <w:sz w:val="28"/>
          <w:szCs w:val="28"/>
          <w:u w:val="single"/>
        </w:rPr>
        <w:t>)</w:t>
      </w:r>
      <w:r w:rsidRPr="00375AE1">
        <w:rPr>
          <w:sz w:val="28"/>
          <w:szCs w:val="28"/>
        </w:rPr>
        <w:t xml:space="preserve"> в фонде данных государственной кадастровой оценки Проекта отчета </w:t>
      </w:r>
      <w:r w:rsidRPr="00375AE1">
        <w:rPr>
          <w:rFonts w:eastAsia="Calibri"/>
          <w:sz w:val="28"/>
          <w:szCs w:val="28"/>
          <w:lang w:eastAsia="en-US"/>
        </w:rPr>
        <w:t>об итогах государственной кадастровой оценки</w:t>
      </w:r>
      <w:r w:rsidRPr="00375AE1">
        <w:rPr>
          <w:sz w:val="28"/>
          <w:szCs w:val="28"/>
        </w:rPr>
        <w:t>, все заинтересованные лица (граждане, индивидуальные предприниматели, юридические лица, органы местного самоуправления муниципальных образований Республики Дагестан, исполнительные органы государственной власти Российской Федерации, а также Республики Дагестан) могут представить свои замечания к проекту отчета.</w:t>
      </w:r>
      <w:r w:rsidRPr="00375AE1">
        <w:rPr>
          <w:rFonts w:ascii="ProximaNova" w:eastAsia="Calibri" w:hAnsi="ProximaNova"/>
          <w:color w:val="323232"/>
          <w:shd w:val="clear" w:color="auto" w:fill="FFFFFF"/>
          <w:lang w:eastAsia="en-US"/>
        </w:rPr>
        <w:t xml:space="preserve"> </w:t>
      </w:r>
    </w:p>
    <w:p w:rsidR="00375AE1" w:rsidRPr="00375AE1" w:rsidRDefault="00375AE1" w:rsidP="00375AE1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75AE1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Дата размещения проекта отчёта: 06 сентября 2023 г. </w:t>
      </w:r>
    </w:p>
    <w:p w:rsidR="00375AE1" w:rsidRPr="00375AE1" w:rsidRDefault="00375AE1" w:rsidP="00375AE1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75AE1">
        <w:rPr>
          <w:rFonts w:eastAsia="Calibri"/>
          <w:b/>
          <w:sz w:val="28"/>
          <w:szCs w:val="28"/>
          <w:shd w:val="clear" w:color="auto" w:fill="FFFFFF"/>
          <w:lang w:eastAsia="en-US"/>
        </w:rPr>
        <w:t>Дата окончания приема замечаний к проекту отчета: 05 октября 2023 г.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 xml:space="preserve">Замечания к проекту отчета могут быть представлены </w:t>
      </w:r>
      <w:r w:rsidRPr="00375AE1">
        <w:rPr>
          <w:sz w:val="28"/>
          <w:szCs w:val="28"/>
        </w:rPr>
        <w:br/>
        <w:t>ГБУ РД «</w:t>
      </w:r>
      <w:proofErr w:type="spellStart"/>
      <w:r w:rsidRPr="00375AE1">
        <w:rPr>
          <w:sz w:val="28"/>
          <w:szCs w:val="28"/>
        </w:rPr>
        <w:t>Дагтехкадастр</w:t>
      </w:r>
      <w:proofErr w:type="spellEnd"/>
      <w:r w:rsidRPr="00375AE1">
        <w:rPr>
          <w:sz w:val="28"/>
          <w:szCs w:val="28"/>
        </w:rPr>
        <w:t xml:space="preserve">» лично, регистрируемым почтовым отправлением </w:t>
      </w:r>
      <w:r w:rsidRPr="00375AE1">
        <w:rPr>
          <w:sz w:val="28"/>
          <w:szCs w:val="28"/>
        </w:rPr>
        <w:br/>
      </w:r>
      <w:r w:rsidRPr="00375AE1">
        <w:rPr>
          <w:rFonts w:eastAsia="Calibri"/>
          <w:sz w:val="28"/>
          <w:szCs w:val="28"/>
          <w:lang w:eastAsia="en-US"/>
        </w:rPr>
        <w:t>с уведомлением о вручении</w:t>
      </w:r>
      <w:r w:rsidRPr="00375AE1">
        <w:rPr>
          <w:sz w:val="28"/>
          <w:szCs w:val="28"/>
        </w:rPr>
        <w:t xml:space="preserve"> или с использованием сети «Интернет» </w:t>
      </w:r>
      <w:r w:rsidRPr="00375AE1">
        <w:rPr>
          <w:sz w:val="28"/>
          <w:szCs w:val="28"/>
        </w:rPr>
        <w:br/>
        <w:t xml:space="preserve">(367000, г. Махачкала, ул. </w:t>
      </w:r>
      <w:proofErr w:type="spellStart"/>
      <w:r w:rsidRPr="00375AE1">
        <w:rPr>
          <w:sz w:val="28"/>
          <w:szCs w:val="28"/>
        </w:rPr>
        <w:t>Абубакарова</w:t>
      </w:r>
      <w:proofErr w:type="spellEnd"/>
      <w:r w:rsidRPr="00375AE1">
        <w:rPr>
          <w:sz w:val="28"/>
          <w:szCs w:val="28"/>
        </w:rPr>
        <w:t>, 18А, электронный адрес: </w:t>
      </w:r>
      <w:hyperlink r:id="rId8" w:history="1">
        <w:r w:rsidRPr="00375AE1">
          <w:rPr>
            <w:rFonts w:eastAsia="Calibri"/>
            <w:color w:val="0000FF"/>
            <w:sz w:val="28"/>
            <w:szCs w:val="28"/>
            <w:u w:val="single"/>
            <w:lang w:eastAsia="en-US"/>
          </w:rPr>
          <w:t>dtk@dagbti.ru</w:t>
        </w:r>
      </w:hyperlink>
      <w:r w:rsidRPr="00375AE1">
        <w:rPr>
          <w:sz w:val="28"/>
          <w:szCs w:val="28"/>
        </w:rPr>
        <w:t>), а также в ГАУ РД «Многофункциональный центр предоставления государственных и муниципальных услуг в Республике Дагестан» и территориальные отделы лично.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Замечание к проекту отчета наряду с изложением его сути должно содержать: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375AE1" w:rsidRPr="00375AE1" w:rsidRDefault="00375AE1" w:rsidP="00375AE1">
      <w:pPr>
        <w:ind w:firstLine="709"/>
        <w:jc w:val="both"/>
        <w:rPr>
          <w:rFonts w:ascii="Calibri" w:eastAsia="Calibri" w:hAnsi="Calibri"/>
          <w:lang w:eastAsia="en-US"/>
        </w:rPr>
      </w:pPr>
      <w:r w:rsidRPr="00375AE1">
        <w:rPr>
          <w:sz w:val="28"/>
          <w:szCs w:val="28"/>
        </w:rPr>
        <w:t xml:space="preserve">Не подлежат рассмотрению замечания к проекту отчёта, не соответствующие требованиям, установленным пунктом 18 статьи 14 Федерального закона </w:t>
      </w:r>
      <w:r w:rsidRPr="00375AE1">
        <w:rPr>
          <w:sz w:val="28"/>
          <w:szCs w:val="28"/>
        </w:rPr>
        <w:br/>
        <w:t>от 3 июля 2016 г. № 237-ФЗ «О государственной кадастровой оценке».</w:t>
      </w:r>
    </w:p>
    <w:p w:rsidR="00AE0FD1" w:rsidRDefault="00AE0FD1" w:rsidP="00C24792">
      <w:pPr>
        <w:jc w:val="center"/>
        <w:rPr>
          <w:b/>
          <w:sz w:val="28"/>
          <w:szCs w:val="28"/>
        </w:rPr>
      </w:pPr>
    </w:p>
    <w:p w:rsidR="00C24792" w:rsidRPr="00C24792" w:rsidRDefault="0003237B" w:rsidP="00C247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24792">
        <w:rPr>
          <w:b/>
          <w:sz w:val="28"/>
          <w:szCs w:val="28"/>
        </w:rPr>
        <w:t xml:space="preserve">Результаты </w:t>
      </w:r>
    </w:p>
    <w:p w:rsidR="000E4314" w:rsidRPr="00C24792" w:rsidRDefault="0003237B" w:rsidP="00C24792">
      <w:pPr>
        <w:jc w:val="center"/>
        <w:rPr>
          <w:b/>
          <w:sz w:val="28"/>
          <w:szCs w:val="28"/>
        </w:rPr>
      </w:pPr>
      <w:r w:rsidRPr="00C24792">
        <w:rPr>
          <w:b/>
          <w:sz w:val="28"/>
          <w:szCs w:val="28"/>
        </w:rPr>
        <w:t>о проведенной работе</w:t>
      </w:r>
      <w:r w:rsidR="00C24792" w:rsidRPr="00C24792">
        <w:rPr>
          <w:b/>
          <w:sz w:val="28"/>
          <w:szCs w:val="28"/>
        </w:rPr>
        <w:t xml:space="preserve"> по размещению информационного извещения</w:t>
      </w:r>
    </w:p>
    <w:p w:rsidR="0003237B" w:rsidRDefault="0003237B" w:rsidP="0003237B">
      <w:pPr>
        <w:jc w:val="center"/>
        <w:rPr>
          <w:sz w:val="28"/>
          <w:szCs w:val="28"/>
        </w:rPr>
      </w:pPr>
    </w:p>
    <w:p w:rsidR="00C24792" w:rsidRDefault="00C24792" w:rsidP="0003237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0"/>
        <w:gridCol w:w="5785"/>
        <w:gridCol w:w="3686"/>
      </w:tblGrid>
      <w:tr w:rsidR="0003237B" w:rsidTr="0003237B">
        <w:tc>
          <w:tcPr>
            <w:tcW w:w="560" w:type="dxa"/>
            <w:vAlign w:val="center"/>
          </w:tcPr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№ п/п</w:t>
            </w:r>
          </w:p>
        </w:tc>
        <w:tc>
          <w:tcPr>
            <w:tcW w:w="5785" w:type="dxa"/>
            <w:vAlign w:val="center"/>
          </w:tcPr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Наименование муниципального образования</w:t>
            </w:r>
          </w:p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(городской округ, муниципальный район</w:t>
            </w:r>
            <w:r w:rsidR="00C24792">
              <w:rPr>
                <w:b/>
              </w:rPr>
              <w:t>,</w:t>
            </w:r>
            <w:r w:rsidRPr="0003237B">
              <w:rPr>
                <w:b/>
              </w:rPr>
              <w:t xml:space="preserve"> сельское и городское поселение)</w:t>
            </w:r>
          </w:p>
        </w:tc>
        <w:tc>
          <w:tcPr>
            <w:tcW w:w="3686" w:type="dxa"/>
            <w:vAlign w:val="center"/>
          </w:tcPr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Адрес ссылки информационного извещения на официальном сайте информационно-телекоммуникационной сети "Интернет"</w:t>
            </w:r>
            <w:r w:rsidR="00B95D80">
              <w:rPr>
                <w:b/>
              </w:rPr>
              <w:t xml:space="preserve"> муниципального образования</w:t>
            </w:r>
            <w:r w:rsidR="00CE04C2">
              <w:rPr>
                <w:b/>
              </w:rPr>
              <w:t xml:space="preserve">, в том числе сельского поселения </w:t>
            </w:r>
          </w:p>
        </w:tc>
      </w:tr>
      <w:tr w:rsidR="0003237B" w:rsidTr="0003237B">
        <w:tc>
          <w:tcPr>
            <w:tcW w:w="560" w:type="dxa"/>
          </w:tcPr>
          <w:p w:rsidR="0003237B" w:rsidRDefault="00C24792" w:rsidP="0003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237B" w:rsidRDefault="0003237B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FF649C" w:rsidRDefault="00FF649C" w:rsidP="0003237B">
      <w:pPr>
        <w:jc w:val="center"/>
        <w:rPr>
          <w:sz w:val="28"/>
          <w:szCs w:val="28"/>
        </w:rPr>
      </w:pPr>
    </w:p>
    <w:p w:rsidR="00FF649C" w:rsidRDefault="00FF649C" w:rsidP="0003237B">
      <w:pPr>
        <w:jc w:val="center"/>
        <w:rPr>
          <w:sz w:val="28"/>
          <w:szCs w:val="28"/>
        </w:rPr>
      </w:pPr>
    </w:p>
    <w:p w:rsidR="00FF649C" w:rsidRDefault="00FF649C" w:rsidP="0003237B">
      <w:pPr>
        <w:jc w:val="center"/>
        <w:rPr>
          <w:sz w:val="28"/>
          <w:szCs w:val="28"/>
        </w:rPr>
      </w:pPr>
    </w:p>
    <w:p w:rsidR="00FF649C" w:rsidRDefault="00FF649C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Pr="00626715" w:rsidRDefault="00626715" w:rsidP="00626715">
      <w:pPr>
        <w:jc w:val="center"/>
        <w:rPr>
          <w:b/>
          <w:sz w:val="28"/>
          <w:szCs w:val="28"/>
        </w:rPr>
      </w:pPr>
      <w:r w:rsidRPr="00626715">
        <w:rPr>
          <w:b/>
          <w:sz w:val="28"/>
          <w:szCs w:val="28"/>
        </w:rPr>
        <w:t xml:space="preserve">График совещаний </w:t>
      </w:r>
    </w:p>
    <w:p w:rsidR="00626715" w:rsidRDefault="00626715" w:rsidP="00626715">
      <w:pPr>
        <w:jc w:val="center"/>
        <w:rPr>
          <w:b/>
          <w:sz w:val="28"/>
          <w:szCs w:val="28"/>
        </w:rPr>
      </w:pPr>
      <w:r w:rsidRPr="00626715">
        <w:rPr>
          <w:b/>
          <w:sz w:val="28"/>
          <w:szCs w:val="28"/>
        </w:rPr>
        <w:t xml:space="preserve">по вопросу рассмотрения проекта отчета ГКО </w:t>
      </w:r>
    </w:p>
    <w:p w:rsidR="00F27E0D" w:rsidRPr="00626715" w:rsidRDefault="00F27E0D" w:rsidP="00626715">
      <w:pPr>
        <w:jc w:val="center"/>
        <w:rPr>
          <w:b/>
          <w:sz w:val="28"/>
          <w:szCs w:val="28"/>
        </w:rPr>
      </w:pPr>
    </w:p>
    <w:p w:rsidR="00626715" w:rsidRDefault="00F27E0D" w:rsidP="006267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ссылка для подключения - </w:t>
      </w:r>
      <w:hyperlink r:id="rId9" w:history="1">
        <w:r w:rsidRPr="006304E0">
          <w:rPr>
            <w:rStyle w:val="a7"/>
            <w:b/>
            <w:sz w:val="26"/>
            <w:szCs w:val="26"/>
          </w:rPr>
          <w:t>https://vks.e-dag.ru/client?conference=1031&amp;pin=MzkzMDU0Ng%3D%3D</w:t>
        </w:r>
      </w:hyperlink>
      <w:r>
        <w:rPr>
          <w:b/>
          <w:sz w:val="26"/>
          <w:szCs w:val="26"/>
        </w:rPr>
        <w:t xml:space="preserve"> </w:t>
      </w:r>
    </w:p>
    <w:p w:rsidR="00F27E0D" w:rsidRPr="00626715" w:rsidRDefault="00F27E0D" w:rsidP="00626715">
      <w:pPr>
        <w:jc w:val="center"/>
        <w:rPr>
          <w:b/>
          <w:sz w:val="26"/>
          <w:szCs w:val="26"/>
        </w:rPr>
      </w:pPr>
    </w:p>
    <w:p w:rsidR="00626715" w:rsidRPr="00626715" w:rsidRDefault="00626715" w:rsidP="00626715">
      <w:pPr>
        <w:ind w:right="-143"/>
        <w:rPr>
          <w:sz w:val="18"/>
          <w:szCs w:val="18"/>
        </w:rPr>
      </w:pPr>
    </w:p>
    <w:tbl>
      <w:tblPr>
        <w:tblStyle w:val="10"/>
        <w:tblW w:w="9952" w:type="dxa"/>
        <w:tblInd w:w="108" w:type="dxa"/>
        <w:tblLook w:val="04A0"/>
      </w:tblPr>
      <w:tblGrid>
        <w:gridCol w:w="675"/>
        <w:gridCol w:w="5449"/>
        <w:gridCol w:w="3828"/>
      </w:tblGrid>
      <w:tr w:rsidR="00626715" w:rsidRPr="00626715" w:rsidTr="0009672E">
        <w:trPr>
          <w:trHeight w:val="253"/>
        </w:trPr>
        <w:tc>
          <w:tcPr>
            <w:tcW w:w="675" w:type="dxa"/>
            <w:vAlign w:val="center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>№</w:t>
            </w:r>
          </w:p>
          <w:p w:rsidR="00626715" w:rsidRPr="00626715" w:rsidRDefault="00626715" w:rsidP="00626715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>п/п</w:t>
            </w:r>
          </w:p>
        </w:tc>
        <w:tc>
          <w:tcPr>
            <w:tcW w:w="5449" w:type="dxa"/>
            <w:vAlign w:val="center"/>
          </w:tcPr>
          <w:p w:rsidR="00626715" w:rsidRPr="00626715" w:rsidRDefault="00626715" w:rsidP="00626715">
            <w:pPr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3828" w:type="dxa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>Дата и время проведения совещания</w:t>
            </w:r>
          </w:p>
        </w:tc>
      </w:tr>
      <w:tr w:rsidR="00626715" w:rsidRPr="00626715" w:rsidTr="0009672E">
        <w:trPr>
          <w:trHeight w:val="253"/>
        </w:trPr>
        <w:tc>
          <w:tcPr>
            <w:tcW w:w="675" w:type="dxa"/>
            <w:vAlign w:val="center"/>
          </w:tcPr>
          <w:p w:rsidR="00626715" w:rsidRPr="00626715" w:rsidRDefault="00626715" w:rsidP="00626715">
            <w:pPr>
              <w:numPr>
                <w:ilvl w:val="0"/>
                <w:numId w:val="4"/>
              </w:numPr>
              <w:contextualSpacing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5449" w:type="dxa"/>
            <w:vAlign w:val="center"/>
          </w:tcPr>
          <w:p w:rsidR="00626715" w:rsidRPr="00626715" w:rsidRDefault="00626715" w:rsidP="00626715">
            <w:pPr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b/>
                <w:sz w:val="26"/>
                <w:szCs w:val="26"/>
              </w:rPr>
              <w:t>Высокогорная зона:</w:t>
            </w:r>
            <w:r w:rsidRPr="00626715">
              <w:rPr>
                <w:sz w:val="26"/>
                <w:szCs w:val="26"/>
              </w:rPr>
              <w:t xml:space="preserve"> Агульский район, </w:t>
            </w:r>
            <w:proofErr w:type="spellStart"/>
            <w:r w:rsidRPr="00626715">
              <w:rPr>
                <w:sz w:val="26"/>
                <w:szCs w:val="26"/>
              </w:rPr>
              <w:t>Ахвахский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Ахтынский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Ботлихский район, </w:t>
            </w:r>
            <w:proofErr w:type="spellStart"/>
            <w:r w:rsidRPr="00626715">
              <w:rPr>
                <w:sz w:val="26"/>
                <w:szCs w:val="26"/>
              </w:rPr>
              <w:t>Гумбетовский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Дахадаевский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Кулинский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Лакский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Унцукульский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Рутульский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Тляратинский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Хунзахский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Цумадинский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Цунтинский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Чародинский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Шамильский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3828" w:type="dxa"/>
            <w:vAlign w:val="center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26 сентября 2023 г.</w:t>
            </w:r>
          </w:p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10:00</w:t>
            </w:r>
          </w:p>
        </w:tc>
      </w:tr>
      <w:tr w:rsidR="00626715" w:rsidRPr="00626715" w:rsidTr="0009672E">
        <w:trPr>
          <w:trHeight w:val="253"/>
        </w:trPr>
        <w:tc>
          <w:tcPr>
            <w:tcW w:w="675" w:type="dxa"/>
            <w:vAlign w:val="center"/>
          </w:tcPr>
          <w:p w:rsidR="00626715" w:rsidRPr="00626715" w:rsidRDefault="00626715" w:rsidP="00626715">
            <w:pPr>
              <w:numPr>
                <w:ilvl w:val="0"/>
                <w:numId w:val="4"/>
              </w:numPr>
              <w:contextualSpacing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5449" w:type="dxa"/>
            <w:vAlign w:val="center"/>
          </w:tcPr>
          <w:p w:rsidR="00626715" w:rsidRPr="00626715" w:rsidRDefault="00626715" w:rsidP="00626715">
            <w:pPr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 xml:space="preserve">Горная зона: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Акушинский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Гергебильский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Гунибский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Докузпаринский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Курахский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Левашинский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Хивский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</w:t>
            </w:r>
          </w:p>
        </w:tc>
        <w:tc>
          <w:tcPr>
            <w:tcW w:w="3828" w:type="dxa"/>
            <w:vAlign w:val="center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27 сентября 2023 г.</w:t>
            </w:r>
          </w:p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10:00</w:t>
            </w:r>
          </w:p>
        </w:tc>
      </w:tr>
      <w:tr w:rsidR="00626715" w:rsidRPr="00626715" w:rsidTr="0009672E">
        <w:trPr>
          <w:trHeight w:val="253"/>
        </w:trPr>
        <w:tc>
          <w:tcPr>
            <w:tcW w:w="675" w:type="dxa"/>
            <w:vAlign w:val="center"/>
          </w:tcPr>
          <w:p w:rsidR="00626715" w:rsidRPr="00626715" w:rsidRDefault="00626715" w:rsidP="00626715">
            <w:pPr>
              <w:numPr>
                <w:ilvl w:val="0"/>
                <w:numId w:val="4"/>
              </w:numPr>
              <w:contextualSpacing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5449" w:type="dxa"/>
            <w:vAlign w:val="center"/>
          </w:tcPr>
          <w:p w:rsidR="00626715" w:rsidRPr="00626715" w:rsidRDefault="00626715" w:rsidP="00626715">
            <w:pPr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 xml:space="preserve">Предгорная зона: </w:t>
            </w:r>
            <w:r w:rsidRPr="00626715">
              <w:rPr>
                <w:rFonts w:eastAsiaTheme="minorEastAsia"/>
                <w:sz w:val="26"/>
                <w:szCs w:val="26"/>
              </w:rPr>
              <w:t xml:space="preserve">город Буйнакск, Буйнакский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Казбековский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Кайтагский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Новолакский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Сергокалинский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Сулейман-Стальский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Табасаранский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Бежтинский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участок</w:t>
            </w:r>
          </w:p>
        </w:tc>
        <w:tc>
          <w:tcPr>
            <w:tcW w:w="3828" w:type="dxa"/>
            <w:vAlign w:val="center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28 сентября 2023 г.</w:t>
            </w:r>
          </w:p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10:00</w:t>
            </w:r>
          </w:p>
        </w:tc>
      </w:tr>
      <w:tr w:rsidR="00626715" w:rsidRPr="00626715" w:rsidTr="0009672E">
        <w:trPr>
          <w:trHeight w:val="253"/>
        </w:trPr>
        <w:tc>
          <w:tcPr>
            <w:tcW w:w="675" w:type="dxa"/>
            <w:vAlign w:val="center"/>
          </w:tcPr>
          <w:p w:rsidR="00626715" w:rsidRPr="00626715" w:rsidRDefault="00626715" w:rsidP="00626715">
            <w:pPr>
              <w:numPr>
                <w:ilvl w:val="0"/>
                <w:numId w:val="4"/>
              </w:numPr>
              <w:contextualSpacing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5449" w:type="dxa"/>
            <w:vAlign w:val="center"/>
          </w:tcPr>
          <w:p w:rsidR="00626715" w:rsidRPr="00626715" w:rsidRDefault="00626715" w:rsidP="00626715">
            <w:pPr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b/>
                <w:sz w:val="26"/>
                <w:szCs w:val="26"/>
              </w:rPr>
              <w:t>Равнинная зона:</w:t>
            </w:r>
            <w:r w:rsidRPr="00626715">
              <w:rPr>
                <w:sz w:val="26"/>
                <w:szCs w:val="26"/>
              </w:rPr>
              <w:t xml:space="preserve"> город Махачкала, город Дербент, город Дагестанские Огни, город Избербаш, город Каспийск, город </w:t>
            </w:r>
            <w:proofErr w:type="spellStart"/>
            <w:r w:rsidRPr="00626715">
              <w:rPr>
                <w:sz w:val="26"/>
                <w:szCs w:val="26"/>
              </w:rPr>
              <w:t>Кизилюрт</w:t>
            </w:r>
            <w:proofErr w:type="spellEnd"/>
            <w:r w:rsidRPr="00626715">
              <w:rPr>
                <w:sz w:val="26"/>
                <w:szCs w:val="26"/>
              </w:rPr>
              <w:t xml:space="preserve">, город Кизляр, город Хасавюрт, город Южно-Сухокумск, </w:t>
            </w:r>
            <w:proofErr w:type="spellStart"/>
            <w:r w:rsidRPr="00626715">
              <w:rPr>
                <w:sz w:val="26"/>
                <w:szCs w:val="26"/>
              </w:rPr>
              <w:t>Бабаюртовский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Дербентский район, </w:t>
            </w:r>
            <w:proofErr w:type="spellStart"/>
            <w:r w:rsidRPr="00626715">
              <w:rPr>
                <w:sz w:val="26"/>
                <w:szCs w:val="26"/>
              </w:rPr>
              <w:t>Карабудахкентский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Каякентский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Кизилюртовский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Кизлярский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Кумторкалинский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Магарамкентский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Ногайский район, </w:t>
            </w:r>
            <w:proofErr w:type="spellStart"/>
            <w:r w:rsidRPr="00626715">
              <w:rPr>
                <w:sz w:val="26"/>
                <w:szCs w:val="26"/>
              </w:rPr>
              <w:t>Тарумовский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Хасавюртовский район</w:t>
            </w:r>
          </w:p>
        </w:tc>
        <w:tc>
          <w:tcPr>
            <w:tcW w:w="3828" w:type="dxa"/>
            <w:vAlign w:val="center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29 сентября 2023 г.</w:t>
            </w:r>
          </w:p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10:00</w:t>
            </w:r>
          </w:p>
        </w:tc>
      </w:tr>
    </w:tbl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Pr="00831E0F" w:rsidRDefault="00626715" w:rsidP="0003237B">
      <w:pPr>
        <w:jc w:val="center"/>
        <w:rPr>
          <w:sz w:val="28"/>
          <w:szCs w:val="28"/>
        </w:rPr>
      </w:pPr>
    </w:p>
    <w:sectPr w:rsidR="00626715" w:rsidRPr="00831E0F" w:rsidSect="009E20E0">
      <w:headerReference w:type="default" r:id="rId10"/>
      <w:pgSz w:w="11906" w:h="16838"/>
      <w:pgMar w:top="851" w:right="567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9FC" w:rsidRDefault="000259FC" w:rsidP="00B52DFB">
      <w:r>
        <w:separator/>
      </w:r>
    </w:p>
  </w:endnote>
  <w:endnote w:type="continuationSeparator" w:id="0">
    <w:p w:rsidR="000259FC" w:rsidRDefault="000259FC" w:rsidP="00B5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9FC" w:rsidRDefault="000259FC" w:rsidP="00B52DFB">
      <w:r>
        <w:separator/>
      </w:r>
    </w:p>
  </w:footnote>
  <w:footnote w:type="continuationSeparator" w:id="0">
    <w:p w:rsidR="000259FC" w:rsidRDefault="000259FC" w:rsidP="00B52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297" w:rsidRDefault="003112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337"/>
    <w:multiLevelType w:val="multilevel"/>
    <w:tmpl w:val="F53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51DC6"/>
    <w:multiLevelType w:val="multilevel"/>
    <w:tmpl w:val="CFB0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abstractNum w:abstractNumId="3">
    <w:nsid w:val="7B9B4B4E"/>
    <w:multiLevelType w:val="hybridMultilevel"/>
    <w:tmpl w:val="AFDE498C"/>
    <w:lvl w:ilvl="0" w:tplc="E3D87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584"/>
    <w:rsid w:val="00002F6C"/>
    <w:rsid w:val="000221F8"/>
    <w:rsid w:val="00023743"/>
    <w:rsid w:val="00024F8E"/>
    <w:rsid w:val="000259FC"/>
    <w:rsid w:val="0003237B"/>
    <w:rsid w:val="0003365B"/>
    <w:rsid w:val="00035595"/>
    <w:rsid w:val="00035966"/>
    <w:rsid w:val="0004305F"/>
    <w:rsid w:val="0004398F"/>
    <w:rsid w:val="0006177D"/>
    <w:rsid w:val="00071620"/>
    <w:rsid w:val="00072341"/>
    <w:rsid w:val="0007419D"/>
    <w:rsid w:val="00092B62"/>
    <w:rsid w:val="000B6E23"/>
    <w:rsid w:val="000D13A1"/>
    <w:rsid w:val="000D2947"/>
    <w:rsid w:val="000D2D47"/>
    <w:rsid w:val="000E21D2"/>
    <w:rsid w:val="000E3886"/>
    <w:rsid w:val="000E4314"/>
    <w:rsid w:val="00104E05"/>
    <w:rsid w:val="0011231D"/>
    <w:rsid w:val="00112638"/>
    <w:rsid w:val="00117453"/>
    <w:rsid w:val="00117563"/>
    <w:rsid w:val="00117C58"/>
    <w:rsid w:val="00131F2E"/>
    <w:rsid w:val="00132D66"/>
    <w:rsid w:val="00143D75"/>
    <w:rsid w:val="001515F4"/>
    <w:rsid w:val="00160571"/>
    <w:rsid w:val="001655A7"/>
    <w:rsid w:val="00167F05"/>
    <w:rsid w:val="00190D9C"/>
    <w:rsid w:val="00191636"/>
    <w:rsid w:val="00195A8A"/>
    <w:rsid w:val="001A14C4"/>
    <w:rsid w:val="001A6E2D"/>
    <w:rsid w:val="001A748B"/>
    <w:rsid w:val="001B0B2B"/>
    <w:rsid w:val="001C06BE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57D7C"/>
    <w:rsid w:val="002628D5"/>
    <w:rsid w:val="00265DC0"/>
    <w:rsid w:val="00265F40"/>
    <w:rsid w:val="002878B9"/>
    <w:rsid w:val="00294574"/>
    <w:rsid w:val="002A544D"/>
    <w:rsid w:val="002C0635"/>
    <w:rsid w:val="002C4773"/>
    <w:rsid w:val="002C53F1"/>
    <w:rsid w:val="002D63B4"/>
    <w:rsid w:val="002E01A1"/>
    <w:rsid w:val="002E1C0E"/>
    <w:rsid w:val="00306C2A"/>
    <w:rsid w:val="00311297"/>
    <w:rsid w:val="00311C7F"/>
    <w:rsid w:val="00313A34"/>
    <w:rsid w:val="003153AB"/>
    <w:rsid w:val="003254A1"/>
    <w:rsid w:val="00327B42"/>
    <w:rsid w:val="003369EE"/>
    <w:rsid w:val="0034536E"/>
    <w:rsid w:val="00356BD6"/>
    <w:rsid w:val="00364960"/>
    <w:rsid w:val="00364A30"/>
    <w:rsid w:val="00370BE4"/>
    <w:rsid w:val="00375AE1"/>
    <w:rsid w:val="0038606C"/>
    <w:rsid w:val="00391226"/>
    <w:rsid w:val="0039196C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E1FBA"/>
    <w:rsid w:val="003E7128"/>
    <w:rsid w:val="003F2EE0"/>
    <w:rsid w:val="003F6F4A"/>
    <w:rsid w:val="004007F9"/>
    <w:rsid w:val="00402781"/>
    <w:rsid w:val="004042B9"/>
    <w:rsid w:val="004074E7"/>
    <w:rsid w:val="00410B09"/>
    <w:rsid w:val="00414677"/>
    <w:rsid w:val="00414D2E"/>
    <w:rsid w:val="00414D93"/>
    <w:rsid w:val="00420568"/>
    <w:rsid w:val="0042238A"/>
    <w:rsid w:val="00435720"/>
    <w:rsid w:val="00441BEA"/>
    <w:rsid w:val="00457D74"/>
    <w:rsid w:val="0046182C"/>
    <w:rsid w:val="00464C0E"/>
    <w:rsid w:val="00471FC7"/>
    <w:rsid w:val="00472D80"/>
    <w:rsid w:val="00476A20"/>
    <w:rsid w:val="00485755"/>
    <w:rsid w:val="004A4708"/>
    <w:rsid w:val="004A5738"/>
    <w:rsid w:val="004A60A0"/>
    <w:rsid w:val="004B5482"/>
    <w:rsid w:val="004C109D"/>
    <w:rsid w:val="004C2868"/>
    <w:rsid w:val="004C4456"/>
    <w:rsid w:val="004C5A91"/>
    <w:rsid w:val="004D05FE"/>
    <w:rsid w:val="004E74F9"/>
    <w:rsid w:val="004F01B7"/>
    <w:rsid w:val="004F1E7A"/>
    <w:rsid w:val="0050376B"/>
    <w:rsid w:val="00527DF3"/>
    <w:rsid w:val="00535A4F"/>
    <w:rsid w:val="00551D3E"/>
    <w:rsid w:val="0055378A"/>
    <w:rsid w:val="00556A35"/>
    <w:rsid w:val="00561104"/>
    <w:rsid w:val="00567FCA"/>
    <w:rsid w:val="005709CE"/>
    <w:rsid w:val="00573C5A"/>
    <w:rsid w:val="005A571D"/>
    <w:rsid w:val="005B7BD2"/>
    <w:rsid w:val="005C23F5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26715"/>
    <w:rsid w:val="00636A84"/>
    <w:rsid w:val="00640001"/>
    <w:rsid w:val="00641FE6"/>
    <w:rsid w:val="0064462F"/>
    <w:rsid w:val="006454A7"/>
    <w:rsid w:val="0064796D"/>
    <w:rsid w:val="00670249"/>
    <w:rsid w:val="00670547"/>
    <w:rsid w:val="00672501"/>
    <w:rsid w:val="006765D2"/>
    <w:rsid w:val="006843D1"/>
    <w:rsid w:val="0069067D"/>
    <w:rsid w:val="00690734"/>
    <w:rsid w:val="00692057"/>
    <w:rsid w:val="006B456A"/>
    <w:rsid w:val="006E4FAD"/>
    <w:rsid w:val="006F0337"/>
    <w:rsid w:val="006F0469"/>
    <w:rsid w:val="006F6A36"/>
    <w:rsid w:val="006F6E32"/>
    <w:rsid w:val="007057BD"/>
    <w:rsid w:val="00707E4D"/>
    <w:rsid w:val="00712BC6"/>
    <w:rsid w:val="00723C78"/>
    <w:rsid w:val="007420ED"/>
    <w:rsid w:val="00743A22"/>
    <w:rsid w:val="00746169"/>
    <w:rsid w:val="00764987"/>
    <w:rsid w:val="00771217"/>
    <w:rsid w:val="00772868"/>
    <w:rsid w:val="00795B1B"/>
    <w:rsid w:val="007966A4"/>
    <w:rsid w:val="007C0AEA"/>
    <w:rsid w:val="007C4E8B"/>
    <w:rsid w:val="007C4F92"/>
    <w:rsid w:val="007E2E7B"/>
    <w:rsid w:val="007E33EF"/>
    <w:rsid w:val="007E6694"/>
    <w:rsid w:val="007E722D"/>
    <w:rsid w:val="007F430F"/>
    <w:rsid w:val="007F4B13"/>
    <w:rsid w:val="00803709"/>
    <w:rsid w:val="00803E64"/>
    <w:rsid w:val="00807D97"/>
    <w:rsid w:val="00815E0C"/>
    <w:rsid w:val="0082265B"/>
    <w:rsid w:val="00822F6D"/>
    <w:rsid w:val="008335F7"/>
    <w:rsid w:val="00842A71"/>
    <w:rsid w:val="00852173"/>
    <w:rsid w:val="00865C87"/>
    <w:rsid w:val="0088253C"/>
    <w:rsid w:val="00885D97"/>
    <w:rsid w:val="00893635"/>
    <w:rsid w:val="008949D4"/>
    <w:rsid w:val="008A08B9"/>
    <w:rsid w:val="008A6155"/>
    <w:rsid w:val="008B1A4B"/>
    <w:rsid w:val="008B5624"/>
    <w:rsid w:val="008D4395"/>
    <w:rsid w:val="008F339A"/>
    <w:rsid w:val="008F6703"/>
    <w:rsid w:val="00900076"/>
    <w:rsid w:val="009009F4"/>
    <w:rsid w:val="009059AB"/>
    <w:rsid w:val="00920BF3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A504A"/>
    <w:rsid w:val="009B222F"/>
    <w:rsid w:val="009B357B"/>
    <w:rsid w:val="009B3D00"/>
    <w:rsid w:val="009B4AE2"/>
    <w:rsid w:val="009D256C"/>
    <w:rsid w:val="009E20E0"/>
    <w:rsid w:val="009E52BF"/>
    <w:rsid w:val="009F21E1"/>
    <w:rsid w:val="009F63FE"/>
    <w:rsid w:val="00A05DF1"/>
    <w:rsid w:val="00A121C5"/>
    <w:rsid w:val="00A13BD3"/>
    <w:rsid w:val="00A30F75"/>
    <w:rsid w:val="00A31690"/>
    <w:rsid w:val="00A52D70"/>
    <w:rsid w:val="00A53062"/>
    <w:rsid w:val="00A61B7D"/>
    <w:rsid w:val="00A65DD4"/>
    <w:rsid w:val="00A66627"/>
    <w:rsid w:val="00A70D86"/>
    <w:rsid w:val="00A70F9E"/>
    <w:rsid w:val="00A71305"/>
    <w:rsid w:val="00A72520"/>
    <w:rsid w:val="00A82336"/>
    <w:rsid w:val="00A85679"/>
    <w:rsid w:val="00A930EE"/>
    <w:rsid w:val="00AA15E8"/>
    <w:rsid w:val="00AA74F4"/>
    <w:rsid w:val="00AC1F50"/>
    <w:rsid w:val="00AD6DF2"/>
    <w:rsid w:val="00AE0FD1"/>
    <w:rsid w:val="00B00FC8"/>
    <w:rsid w:val="00B235E3"/>
    <w:rsid w:val="00B23EA6"/>
    <w:rsid w:val="00B26827"/>
    <w:rsid w:val="00B30584"/>
    <w:rsid w:val="00B35671"/>
    <w:rsid w:val="00B356DE"/>
    <w:rsid w:val="00B51376"/>
    <w:rsid w:val="00B52DFB"/>
    <w:rsid w:val="00B64C3D"/>
    <w:rsid w:val="00B935F3"/>
    <w:rsid w:val="00B94EAC"/>
    <w:rsid w:val="00B9542F"/>
    <w:rsid w:val="00B95D80"/>
    <w:rsid w:val="00B97048"/>
    <w:rsid w:val="00BA0992"/>
    <w:rsid w:val="00BA5870"/>
    <w:rsid w:val="00BB72B2"/>
    <w:rsid w:val="00BC7942"/>
    <w:rsid w:val="00BC7D35"/>
    <w:rsid w:val="00BD4365"/>
    <w:rsid w:val="00BD4CFB"/>
    <w:rsid w:val="00BE0A6E"/>
    <w:rsid w:val="00BF3BEA"/>
    <w:rsid w:val="00BF524F"/>
    <w:rsid w:val="00BF6E2A"/>
    <w:rsid w:val="00BF75BD"/>
    <w:rsid w:val="00C045FF"/>
    <w:rsid w:val="00C17E7F"/>
    <w:rsid w:val="00C24792"/>
    <w:rsid w:val="00C45CE1"/>
    <w:rsid w:val="00C54F51"/>
    <w:rsid w:val="00C57EA4"/>
    <w:rsid w:val="00C61001"/>
    <w:rsid w:val="00C66A06"/>
    <w:rsid w:val="00C720D8"/>
    <w:rsid w:val="00C72CC1"/>
    <w:rsid w:val="00C754B9"/>
    <w:rsid w:val="00C77E89"/>
    <w:rsid w:val="00C77EE8"/>
    <w:rsid w:val="00C83BEA"/>
    <w:rsid w:val="00C946F0"/>
    <w:rsid w:val="00C9529C"/>
    <w:rsid w:val="00C97735"/>
    <w:rsid w:val="00CA49ED"/>
    <w:rsid w:val="00CA572C"/>
    <w:rsid w:val="00CB2412"/>
    <w:rsid w:val="00CB7843"/>
    <w:rsid w:val="00CB7B7D"/>
    <w:rsid w:val="00CD0121"/>
    <w:rsid w:val="00CE04C2"/>
    <w:rsid w:val="00CE3354"/>
    <w:rsid w:val="00CE5BEF"/>
    <w:rsid w:val="00CE6928"/>
    <w:rsid w:val="00CF3348"/>
    <w:rsid w:val="00D05970"/>
    <w:rsid w:val="00D1186B"/>
    <w:rsid w:val="00D11E4D"/>
    <w:rsid w:val="00D141D4"/>
    <w:rsid w:val="00D17BA2"/>
    <w:rsid w:val="00D232A6"/>
    <w:rsid w:val="00D26F0F"/>
    <w:rsid w:val="00D405A8"/>
    <w:rsid w:val="00D50CF5"/>
    <w:rsid w:val="00D60E1E"/>
    <w:rsid w:val="00D67EF2"/>
    <w:rsid w:val="00D81B98"/>
    <w:rsid w:val="00D877E2"/>
    <w:rsid w:val="00D925AA"/>
    <w:rsid w:val="00D942DE"/>
    <w:rsid w:val="00DA02F0"/>
    <w:rsid w:val="00DA08F2"/>
    <w:rsid w:val="00DA4CE4"/>
    <w:rsid w:val="00DA54EF"/>
    <w:rsid w:val="00DD388D"/>
    <w:rsid w:val="00DD5232"/>
    <w:rsid w:val="00DF3644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41416"/>
    <w:rsid w:val="00E50805"/>
    <w:rsid w:val="00E51035"/>
    <w:rsid w:val="00E579BF"/>
    <w:rsid w:val="00E641F3"/>
    <w:rsid w:val="00E64FB4"/>
    <w:rsid w:val="00E72F7D"/>
    <w:rsid w:val="00E75F0F"/>
    <w:rsid w:val="00E77D85"/>
    <w:rsid w:val="00E8253A"/>
    <w:rsid w:val="00E91D5E"/>
    <w:rsid w:val="00E94B95"/>
    <w:rsid w:val="00E965A4"/>
    <w:rsid w:val="00EA5918"/>
    <w:rsid w:val="00EB2EFC"/>
    <w:rsid w:val="00EB465C"/>
    <w:rsid w:val="00EC0B53"/>
    <w:rsid w:val="00EC0E7D"/>
    <w:rsid w:val="00ED216B"/>
    <w:rsid w:val="00ED4056"/>
    <w:rsid w:val="00EF52D7"/>
    <w:rsid w:val="00F01099"/>
    <w:rsid w:val="00F021D5"/>
    <w:rsid w:val="00F21F92"/>
    <w:rsid w:val="00F27E0D"/>
    <w:rsid w:val="00F316C8"/>
    <w:rsid w:val="00F33D6A"/>
    <w:rsid w:val="00F33DCF"/>
    <w:rsid w:val="00F348EC"/>
    <w:rsid w:val="00F3520C"/>
    <w:rsid w:val="00F358C7"/>
    <w:rsid w:val="00F42EDF"/>
    <w:rsid w:val="00F54404"/>
    <w:rsid w:val="00F55ACC"/>
    <w:rsid w:val="00F621E4"/>
    <w:rsid w:val="00F76608"/>
    <w:rsid w:val="00F827BC"/>
    <w:rsid w:val="00F96304"/>
    <w:rsid w:val="00FA0B52"/>
    <w:rsid w:val="00FA1480"/>
    <w:rsid w:val="00FB1BB1"/>
    <w:rsid w:val="00FB24CB"/>
    <w:rsid w:val="00FB5C6F"/>
    <w:rsid w:val="00FB797E"/>
    <w:rsid w:val="00FC02FE"/>
    <w:rsid w:val="00FC47B3"/>
    <w:rsid w:val="00FC5415"/>
    <w:rsid w:val="00FD4CE5"/>
    <w:rsid w:val="00FD549C"/>
    <w:rsid w:val="00FD64A9"/>
    <w:rsid w:val="00FE2811"/>
    <w:rsid w:val="00FE6141"/>
    <w:rsid w:val="00FF2B9C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  <w:style w:type="table" w:customStyle="1" w:styleId="10">
    <w:name w:val="Сетка таблицы1"/>
    <w:basedOn w:val="a1"/>
    <w:next w:val="a6"/>
    <w:uiPriority w:val="59"/>
    <w:rsid w:val="006267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k@dagb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s.e-dag.ru/client?conference=1031&amp;pin=MzkzMDU0N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A837-B5A2-4CEF-A7FA-D6A1BDBC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Пользователь Windows</cp:lastModifiedBy>
  <cp:revision>3</cp:revision>
  <cp:lastPrinted>2023-09-18T09:21:00Z</cp:lastPrinted>
  <dcterms:created xsi:type="dcterms:W3CDTF">2023-09-21T14:42:00Z</dcterms:created>
  <dcterms:modified xsi:type="dcterms:W3CDTF">2023-09-21T14:44:00Z</dcterms:modified>
</cp:coreProperties>
</file>